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30D" w:rsidRDefault="0071230D" w:rsidP="0071230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ANEXO I</w:t>
      </w:r>
    </w:p>
    <w:p w:rsidR="00316DF2" w:rsidRDefault="0071230D" w:rsidP="0071230D">
      <w:pPr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ESTUDO TECNICO PRELIMINAR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</w:t>
      </w:r>
      <w:r w:rsidR="005D179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INTRODUÇÃO</w:t>
      </w:r>
    </w:p>
    <w:p w:rsidR="00316DF2" w:rsidRDefault="00316DF2" w:rsidP="00316DF2">
      <w:pPr>
        <w:spacing w:after="0" w:line="360" w:lineRule="auto"/>
        <w:jc w:val="both"/>
        <w:rPr>
          <w:rFonts w:asciiTheme="minorHAnsi" w:hAnsiTheme="minorHAnsi" w:cstheme="minorBidi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presente Estudo Técnico Preliminar – ETP tem por finalidade demonstrar a necessidade, viabilidade e adequação da contratação de leiloeiros oficiais, por meio de procedimento auxiliar de credenciamento, visando à realização de leilões públicos destinados à alienação de bens móveis inservíveis pertencentes ao INSTITUTO DE PLANEJAMENTO E DESENVOLVIMENTO SUSTENTÁVEL DE ARAXÁ/MG, em conformidade com a legislação vigente.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</w:t>
      </w:r>
      <w:r w:rsidR="005D179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DESCRIÇÃO DA NECESSIDADE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Administração Pública possui o dever de gerir adequadamente seu patrimônio, observando os princípios da eficiência, economicidade, legalidade e transparência.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Nesse contexto, verifica-se a existência de bens móveis classificados como inservíveis, antieconômicos, obsoletos ou irrecuperáveis, cuja permanência nos depósitos públicos gera custos indiretos, ocupação indevida de espaço físico e prejuízos decorrentes de depreciação contínua.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alienação desses bens por meio de leilão público configura medida legal, eficiente e adequada para promover a destinação correta dos ativos, possibilitando sua reinserção no ciclo econômico e a geração de receita ao IPDSA.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realização de leilões públicos demanda conhecimento técnico específico, estrutura operacional e experiência na condução de certames, incluindo organização de lotes, divulgação, visitação, condução da sessão pública, processamento de lances, prestação de contas e entrega dos bens.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Considerando a ausência de estrutura técnica e operacional suficiente no âmbito da Administração Municipal para a execução direta dessas atividades, bem como a </w:t>
      </w:r>
      <w:r>
        <w:rPr>
          <w:rFonts w:ascii="Times New Roman" w:hAnsi="Times New Roman"/>
          <w:sz w:val="24"/>
          <w:szCs w:val="24"/>
        </w:rPr>
        <w:lastRenderedPageBreak/>
        <w:t>necessidade de garantir maior eficiência, segurança jurídica e amplitude de publicidade, justifica-se a contratação de leiloeiros oficiais devidamente habilitados.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– PREVISÃO NO PLANO DE CONTRATAÇÕES ANUAL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presente contratação não estava prevista no Plano Anual de Contratações vigente, tratando-se de demanda superveniente, devidamente justificada pela necessidade de destinação de bens inservíveis identificados ao longo do exercício.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– REQUISITOS DA CONTRATAÇÃO/CONDIÇÕES GERAIS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4.1 O leiloeiro oficial deverá:</w:t>
      </w:r>
    </w:p>
    <w:p w:rsidR="00316DF2" w:rsidRPr="005D179B" w:rsidRDefault="00316DF2" w:rsidP="005D179B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79B">
        <w:rPr>
          <w:rFonts w:ascii="Times New Roman" w:hAnsi="Times New Roman"/>
          <w:sz w:val="24"/>
          <w:szCs w:val="24"/>
        </w:rPr>
        <w:t>Estar devidamente matriculado na Junta Comercial do Estado de Minas Gerais (JUCEMG);</w:t>
      </w:r>
    </w:p>
    <w:p w:rsidR="00316DF2" w:rsidRPr="005D179B" w:rsidRDefault="00316DF2" w:rsidP="005D179B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79B">
        <w:rPr>
          <w:rFonts w:ascii="Times New Roman" w:hAnsi="Times New Roman"/>
          <w:sz w:val="24"/>
          <w:szCs w:val="24"/>
        </w:rPr>
        <w:t>Estar no pleno gozo de seus direitos civis e políticos;</w:t>
      </w:r>
    </w:p>
    <w:p w:rsidR="00316DF2" w:rsidRPr="005D179B" w:rsidRDefault="00316DF2" w:rsidP="005D179B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79B">
        <w:rPr>
          <w:rFonts w:ascii="Times New Roman" w:hAnsi="Times New Roman"/>
          <w:sz w:val="24"/>
          <w:szCs w:val="24"/>
        </w:rPr>
        <w:t>Comprovar regularidade fiscal, trabalhista e idoneidade;</w:t>
      </w:r>
    </w:p>
    <w:p w:rsidR="00316DF2" w:rsidRPr="005D179B" w:rsidRDefault="00316DF2" w:rsidP="005D179B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79B">
        <w:rPr>
          <w:rFonts w:ascii="Times New Roman" w:hAnsi="Times New Roman"/>
          <w:sz w:val="24"/>
          <w:szCs w:val="24"/>
        </w:rPr>
        <w:t>Possuir capacidade técnica e operacional para realização de leilões eletrônicos;</w:t>
      </w:r>
    </w:p>
    <w:p w:rsidR="00316DF2" w:rsidRPr="005D179B" w:rsidRDefault="00316DF2" w:rsidP="005D179B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79B">
        <w:rPr>
          <w:rFonts w:ascii="Times New Roman" w:hAnsi="Times New Roman"/>
          <w:sz w:val="24"/>
          <w:szCs w:val="24"/>
        </w:rPr>
        <w:t>Dispor de plataforma digital própria, gratuita aos participantes, com recursos de transmissão ao vivo, recepção de lances em tempo real e emissão de relatórios.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4.2 Responsabilidades/leiloeiro</w:t>
      </w:r>
      <w:r w:rsidR="005D179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Organização dos lotes; 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Divulgação do certame; 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Disponibilização de catálogo; 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Condução do leilão; 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Controle financeiro dos arremates; </w:t>
      </w:r>
    </w:p>
    <w:p w:rsidR="00316DF2" w:rsidRDefault="00316DF2" w:rsidP="00316DF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Prestação de contas.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4.3 Compete ao </w:t>
      </w:r>
      <w:r w:rsidR="005D179B">
        <w:rPr>
          <w:rFonts w:ascii="Times New Roman" w:hAnsi="Times New Roman"/>
          <w:b/>
          <w:sz w:val="24"/>
          <w:szCs w:val="24"/>
          <w:u w:val="single"/>
        </w:rPr>
        <w:t>IPDSA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16DF2" w:rsidRDefault="00316DF2" w:rsidP="00316DF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Publicação oficial do certame; </w:t>
      </w:r>
    </w:p>
    <w:p w:rsidR="00316DF2" w:rsidRDefault="00316DF2" w:rsidP="00316DF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Disponibilização dos bens para visitação; </w:t>
      </w:r>
    </w:p>
    <w:p w:rsidR="00316DF2" w:rsidRDefault="00316DF2" w:rsidP="00316DF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Acompanhamento e fiscalização do contrato.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4.4 Sustentabilidade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Deverão ser observadas práticas sustentáveis aplicáveis ao objeto, especialmente quanto à destinação adequada de bens e redução de impactos decorrentes do armazenamento.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4.5 Subcontratação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será admitida subcontratação.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4.6 Garantia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será exigida garantia contratual.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4.7 Vistoria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Será facultada vistoria prévia dos bens, não podendo sua ausência ser alegada como desconhecimento posterior.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ESTIMATIVA DAS QUANTIDADES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Prevê-se a contratação </w:t>
      </w:r>
      <w:r w:rsidR="00AF3DAA"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z w:val="24"/>
          <w:szCs w:val="24"/>
        </w:rPr>
        <w:t xml:space="preserve"> leiloeiros, mediante credenciamento, para atendimento da demanda estimada de realização de 01 (um) leilão anual, podendo haver novos certames conforme necessidade administrativa.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LEVANTAMENTO DE MERCADO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Foram analisadas as seguintes alternativas: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a) Execução direta pela Administração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Inviável, diante da ausência de estrutura técnica e operacional.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b) Licitação tradicional (pregão ou concorrência)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Inadequada, pois restringe a contratação a um único prestador, reduzindo flexibilidade e eficiência.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c) Contratação direta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Inaplicável conforme Decreto Municipal 1.845, de 17 de agosto de 2023, art. 4º.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d) Credenciamento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Alternativa mais vantajosa, pois permite a contratação simultânea de múltiplos profissionais, sem exclusividade, garantindo maior flexibilidade, competitividade e continuidade do serviço.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5D179B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 – E</w:t>
      </w:r>
      <w:r w:rsidR="00316DF2">
        <w:rPr>
          <w:rFonts w:ascii="Times New Roman" w:hAnsi="Times New Roman"/>
          <w:b/>
          <w:bCs/>
          <w:sz w:val="24"/>
          <w:szCs w:val="24"/>
        </w:rPr>
        <w:t>STIMATIVA DO PREÇO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contratação não gera custos diretos para a Administração Pública.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remuneração do leiloeiro será suportada exclusivamente pelo arrematante, no percentual de até 5% sobre o valor do bem arrematado, conforme prática consolidada e regulamentação vigente.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DESCRIÇÃO DA SOLUÇÃO COMO UM TODO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solução consiste na contratação de leiloeiros oficiais, por meio de credenciamento, para execução de leilões públicos eletrônicos destinados à alienação de bens móveis inservíveis do IPDSA.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 leiloeiros serão responsáveis por todas as etapas do processo, desde a organização até a prestação de contas final.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distribuição das demandas entre os credenciados será realizada por meio de critério objetivo, podendo ser adotado sistema de rodízio, sorteio ou ordem cronológica, assegurando isonomia e transparência.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5D179B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 – J</w:t>
      </w:r>
      <w:r w:rsidR="00316DF2">
        <w:rPr>
          <w:rFonts w:ascii="Times New Roman" w:hAnsi="Times New Roman"/>
          <w:b/>
          <w:bCs/>
          <w:sz w:val="24"/>
          <w:szCs w:val="24"/>
        </w:rPr>
        <w:t>USTIFICATIVA PARA NÃO PARCELAMENTO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se aplica o parcelamento, considerando a natureza indivisível dos serviços.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RESULTADOS PRETENDIDOS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Eficiência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Redução do tempo de alienação dos bens.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Eficácia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Maior taxa de sucesso nos leilões.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Economicidade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Ausência de custos diretos e maximização da arrecadação.</w:t>
      </w: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11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PROVIDÊNCIAS PRÉVIAS</w:t>
      </w:r>
    </w:p>
    <w:p w:rsidR="00316DF2" w:rsidRDefault="00316DF2" w:rsidP="00316DF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Designação de fiscal do contrato; </w:t>
      </w:r>
    </w:p>
    <w:p w:rsidR="00316DF2" w:rsidRDefault="00316DF2" w:rsidP="00316DF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Identificação e avaliação dos bens; </w:t>
      </w:r>
    </w:p>
    <w:p w:rsidR="00316DF2" w:rsidRDefault="00316DF2" w:rsidP="00316DF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Elaboração do Termo de Referência. </w:t>
      </w: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12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IMPACTOS AMBIENTAIS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há impactos ambientais relevantes, sendo a alienação medida que contribui para a correta destinação dos bens.</w:t>
      </w: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13 </w:t>
      </w:r>
      <w:r w:rsidR="005D179B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CONTRATAÇÕES CORRELATAS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Não há contratações interdependentes.</w:t>
      </w: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2" w:rsidRDefault="005D179B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14 – </w:t>
      </w:r>
      <w:r w:rsidR="00316DF2">
        <w:rPr>
          <w:rFonts w:ascii="Times New Roman" w:hAnsi="Times New Roman"/>
          <w:b/>
          <w:bCs/>
          <w:sz w:val="24"/>
          <w:szCs w:val="24"/>
        </w:rPr>
        <w:t>ANÁLISE DE RISCOS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83"/>
        <w:gridCol w:w="2349"/>
        <w:gridCol w:w="3195"/>
      </w:tblGrid>
      <w:tr w:rsidR="00316DF2" w:rsidTr="00316D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Risco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Impacto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Mitigação</w:t>
            </w:r>
          </w:p>
        </w:tc>
      </w:tr>
      <w:tr w:rsidR="00316DF2" w:rsidTr="00316D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Baixa participação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Baixa arrecadação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Ampla divulgação</w:t>
            </w:r>
          </w:p>
        </w:tc>
      </w:tr>
      <w:tr w:rsidR="00316DF2" w:rsidTr="00316D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Falha na plataforma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Interrupção do leilão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Exigência de sistema confiável</w:t>
            </w:r>
          </w:p>
        </w:tc>
      </w:tr>
      <w:tr w:rsidR="00316DF2" w:rsidTr="00316D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Questionamentos jurídicos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Suspensão do certame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Default="00316D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Observância legal rigorosa</w:t>
            </w:r>
          </w:p>
        </w:tc>
      </w:tr>
    </w:tbl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5D179B" w:rsidP="00316DF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15 – </w:t>
      </w:r>
      <w:r w:rsidR="00316DF2">
        <w:rPr>
          <w:rFonts w:ascii="Times New Roman" w:hAnsi="Times New Roman"/>
          <w:b/>
          <w:bCs/>
          <w:sz w:val="24"/>
          <w:szCs w:val="24"/>
        </w:rPr>
        <w:t>VIABILIDADE DA CONTRATAÇÃO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Diante das análises realizadas, conclui-se que a contratação é:</w:t>
      </w:r>
    </w:p>
    <w:p w:rsidR="00316DF2" w:rsidRDefault="00316DF2" w:rsidP="00316DF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Tecnicamente viável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16DF2" w:rsidRDefault="00316DF2" w:rsidP="00316DF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Economicamente vantajosa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16DF2" w:rsidRDefault="00316DF2" w:rsidP="00316DF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Juridicamente adequada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contratação será realizada por meio de </w:t>
      </w:r>
      <w:r>
        <w:rPr>
          <w:rFonts w:ascii="Times New Roman" w:hAnsi="Times New Roman"/>
          <w:bCs/>
          <w:sz w:val="24"/>
          <w:szCs w:val="24"/>
        </w:rPr>
        <w:t>procedimento auxiliar de credenciamento</w:t>
      </w:r>
      <w:r>
        <w:rPr>
          <w:rFonts w:ascii="Times New Roman" w:hAnsi="Times New Roman"/>
          <w:sz w:val="24"/>
          <w:szCs w:val="24"/>
        </w:rPr>
        <w:t>, permitindo a participação de múltiplos leiloeiros, sem exclusividade, garantindo maior eficiência, transparência e atendimento ao interesse público.</w:t>
      </w: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ARAXÁ, 22 DE MARÇO DE 2026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1F44" w:rsidRDefault="00C71F44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ASSINATURA RESPONSÁVEL</w:t>
      </w: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6DF2" w:rsidRDefault="00316DF2" w:rsidP="00316DF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316DF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5CD" w:rsidRDefault="00E215CD" w:rsidP="00316DF2">
      <w:pPr>
        <w:spacing w:after="0" w:line="240" w:lineRule="auto"/>
      </w:pPr>
      <w:r>
        <w:separator/>
      </w:r>
    </w:p>
  </w:endnote>
  <w:endnote w:type="continuationSeparator" w:id="0">
    <w:p w:rsidR="00E215CD" w:rsidRDefault="00E215CD" w:rsidP="0031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5CD" w:rsidRDefault="00E215CD" w:rsidP="00316DF2">
      <w:pPr>
        <w:spacing w:after="0" w:line="240" w:lineRule="auto"/>
      </w:pPr>
      <w:r>
        <w:separator/>
      </w:r>
    </w:p>
  </w:footnote>
  <w:footnote w:type="continuationSeparator" w:id="0">
    <w:p w:rsidR="00E215CD" w:rsidRDefault="00E215CD" w:rsidP="00316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DF2" w:rsidRDefault="005C3550">
    <w:pPr>
      <w:pStyle w:val="Cabealho"/>
    </w:pPr>
    <w:r>
      <w:rPr>
        <w:noProof/>
        <w:lang w:eastAsia="pt-BR"/>
      </w:rPr>
      <w:drawing>
        <wp:inline distT="0" distB="0" distL="0" distR="0" wp14:anchorId="47D39AC3" wp14:editId="1BE4F685">
          <wp:extent cx="5400040" cy="5334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3550" w:rsidRDefault="005C355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411FA"/>
    <w:multiLevelType w:val="multilevel"/>
    <w:tmpl w:val="AB38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4531EE"/>
    <w:multiLevelType w:val="multilevel"/>
    <w:tmpl w:val="48E0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182E55"/>
    <w:multiLevelType w:val="hybridMultilevel"/>
    <w:tmpl w:val="7264E3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BE39BC"/>
    <w:multiLevelType w:val="multilevel"/>
    <w:tmpl w:val="1FAA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AF1B64"/>
    <w:multiLevelType w:val="multilevel"/>
    <w:tmpl w:val="E630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A955FF"/>
    <w:multiLevelType w:val="hybridMultilevel"/>
    <w:tmpl w:val="9B06DDE8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F2"/>
    <w:rsid w:val="00316DF2"/>
    <w:rsid w:val="004C2C0E"/>
    <w:rsid w:val="005C3550"/>
    <w:rsid w:val="005D179B"/>
    <w:rsid w:val="0071230D"/>
    <w:rsid w:val="00AF3DAA"/>
    <w:rsid w:val="00C71F44"/>
    <w:rsid w:val="00E2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68DCA-2626-49AC-A137-81D70D63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DF2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16D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16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16DF2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316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16DF2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5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IPDSA - 331</dc:creator>
  <cp:keywords/>
  <dc:description/>
  <cp:lastModifiedBy>Conta da Microsoft</cp:lastModifiedBy>
  <cp:revision>6</cp:revision>
  <dcterms:created xsi:type="dcterms:W3CDTF">2026-03-24T20:21:00Z</dcterms:created>
  <dcterms:modified xsi:type="dcterms:W3CDTF">2026-05-13T18:19:00Z</dcterms:modified>
</cp:coreProperties>
</file>